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3FE1A637"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BF0F96">
        <w:rPr>
          <w:rFonts w:ascii="Arial" w:eastAsia="MS Mincho" w:hAnsi="Arial" w:cs="Arial"/>
          <w:b/>
          <w:sz w:val="24"/>
          <w:szCs w:val="24"/>
          <w:lang w:eastAsia="ja-JP"/>
        </w:rPr>
        <w:t>21114</w:t>
      </w:r>
    </w:p>
    <w:p w14:paraId="3BEEF1A8" w14:textId="77777777"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77777777" w:rsidR="00BF0F96" w:rsidRPr="004847FD" w:rsidRDefault="00BF0F96" w:rsidP="00BF0F96">
      <w:pPr>
        <w:numPr>
          <w:ilvl w:val="0"/>
          <w:numId w:val="33"/>
        </w:numPr>
      </w:pPr>
      <w:bookmarkStart w:id="6" w:name="_Hlk173910499"/>
      <w:r w:rsidRPr="0004663A">
        <w:t xml:space="preserve">Several SDOs work </w:t>
      </w:r>
      <w:r w:rsidRPr="004847FD">
        <w:t>on energy measurements and end2end chain information (See S1-242104).</w:t>
      </w:r>
    </w:p>
    <w:p w14:paraId="2542599A" w14:textId="77777777" w:rsidR="00BF0F96" w:rsidRPr="004847FD" w:rsidRDefault="00BF0F96" w:rsidP="00BF0F96">
      <w:pPr>
        <w:numPr>
          <w:ilvl w:val="0"/>
          <w:numId w:val="33"/>
        </w:numPr>
      </w:pPr>
      <w:r w:rsidRPr="004847FD">
        <w:t>EU regulator is using EC labels to inform users (See S1-242108).</w:t>
      </w:r>
    </w:p>
    <w:p w14:paraId="7D741C7E" w14:textId="77777777" w:rsidR="00BF0F96" w:rsidRPr="004847FD" w:rsidRDefault="00BF0F96" w:rsidP="00BF0F96">
      <w:pPr>
        <w:numPr>
          <w:ilvl w:val="0"/>
          <w:numId w:val="33"/>
        </w:numPr>
      </w:pPr>
      <w:r w:rsidRPr="004847FD">
        <w:t>The (future) energy market (See S1-242109).</w:t>
      </w:r>
    </w:p>
    <w:bookmarkEnd w:id="6"/>
    <w:p w14:paraId="4A80B27A" w14:textId="7B434452" w:rsidR="00AE5A0E" w:rsidRDefault="00AE5A0E" w:rsidP="00AE5A0E">
      <w:r>
        <w:t>In summary; the 1</w:t>
      </w:r>
      <w:r w:rsidRPr="0004663A">
        <w:rPr>
          <w:vertAlign w:val="superscript"/>
        </w:rPr>
        <w:t>st</w:t>
      </w:r>
      <w:r>
        <w:t xml:space="preserve"> discussion paper elaborates on all the different SDOs that are taking EC measurement and reduction in scope. The 2</w:t>
      </w:r>
      <w:r w:rsidRPr="0004663A">
        <w:rPr>
          <w:vertAlign w:val="superscript"/>
        </w:rPr>
        <w:t>nd</w:t>
      </w:r>
      <w:r>
        <w:t xml:space="preserve"> discussion paper elaborates on the use of EC labels for all kinds of equipment; the EU regulator wants consumers to make informed decisions on EC before purchasing it, and secondarily to make equipment manufacturers compete also on the EC label. The 3</w:t>
      </w:r>
      <w:r w:rsidRPr="0004663A">
        <w:rPr>
          <w:vertAlign w:val="superscript"/>
        </w:rPr>
        <w:t>rd</w:t>
      </w:r>
      <w:r>
        <w:t xml:space="preserve"> 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2CB06C8F" w14:textId="2B8FB92B" w:rsidR="008F29EE" w:rsidRPr="008F29EE" w:rsidRDefault="008F29EE" w:rsidP="00AE5A0E">
      <w:r w:rsidRPr="000D6532">
        <w:t>---------- Use Case template ----------</w:t>
      </w:r>
    </w:p>
    <w:p w14:paraId="2094963E" w14:textId="393A6A21" w:rsidR="00341E0A" w:rsidRPr="008120FA" w:rsidRDefault="005A32EF" w:rsidP="00DC7A57">
      <w:pPr>
        <w:pStyle w:val="Heading2"/>
        <w:rPr>
          <w:rFonts w:cs="Arial"/>
        </w:rPr>
      </w:pPr>
      <w:bookmarkStart w:id="7" w:name="_Toc112402477"/>
      <w:bookmarkStart w:id="8" w:name="_Toc112403527"/>
      <w:bookmarkStart w:id="9" w:name="_Toc112660798"/>
      <w:bookmarkEnd w:id="0"/>
      <w:bookmarkEnd w:id="1"/>
      <w:bookmarkEnd w:id="2"/>
      <w:bookmarkEnd w:id="3"/>
      <w:bookmarkEnd w:id="4"/>
      <w:bookmarkEnd w:id="5"/>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10" w:name="_Toc108086220"/>
      <w:bookmarkStart w:id="11" w:name="_Toc113369779"/>
      <w:bookmarkStart w:id="12" w:name="_Toc120118710"/>
      <w:bookmarkStart w:id="13"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10"/>
      <w:bookmarkEnd w:id="11"/>
      <w:bookmarkEnd w:id="12"/>
      <w:bookmarkEnd w:id="13"/>
    </w:p>
    <w:p w14:paraId="4F65503F" w14:textId="09003B2B"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r w:rsidR="00465F38" w:rsidRPr="00932A36">
        <w:rPr>
          <w:vertAlign w:val="superscript"/>
        </w:rPr>
        <w:t xml:space="preserve"> </w:t>
      </w:r>
      <w:r w:rsidR="005219C6">
        <w:rPr>
          <w:rStyle w:val="FootnoteReference"/>
        </w:rPr>
        <w:footnoteReference w:id="2"/>
      </w:r>
      <w:r w:rsidR="00932A36">
        <w:rPr>
          <w:vertAlign w:val="superscript"/>
        </w:rPr>
        <w:t>,</w:t>
      </w:r>
      <w:r w:rsidR="00932A36">
        <w:rPr>
          <w:rStyle w:val="FootnoteReference"/>
        </w:rPr>
        <w:footnoteReference w:id="3"/>
      </w:r>
      <w:r w:rsidR="00932A36">
        <w:rPr>
          <w:vertAlign w:val="superscript"/>
        </w:rPr>
        <w:t>,</w:t>
      </w:r>
      <w:r w:rsidR="007C46E8">
        <w:rPr>
          <w:rStyle w:val="FootnoteReference"/>
        </w:rPr>
        <w:footnoteReference w:id="4"/>
      </w:r>
      <w:r w:rsidR="00FC40F2">
        <w:rPr>
          <w:vertAlign w:val="superscript"/>
        </w:rPr>
        <w:t>,</w:t>
      </w:r>
      <w:r w:rsidR="003D1CA6">
        <w:rPr>
          <w:rStyle w:val="FootnoteReference"/>
        </w:rPr>
        <w:footnoteReference w:id="5"/>
      </w:r>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GB</w:t>
      </w:r>
      <w:r w:rsidR="0087337A" w:rsidRPr="001B5981">
        <w:rPr>
          <w:rStyle w:val="FootnoteReference"/>
        </w:rPr>
        <w:footnoteReference w:id="6"/>
      </w:r>
      <w:r w:rsidR="00FF0F7A" w:rsidRPr="00996D91" w:rsidDel="003F6581">
        <w:t xml:space="preserve">)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lastRenderedPageBreak/>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14" w:name="_Toc108086221"/>
      <w:bookmarkStart w:id="15" w:name="_Toc113369780"/>
      <w:bookmarkStart w:id="16" w:name="_Toc120118711"/>
      <w:bookmarkStart w:id="17"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14"/>
      <w:bookmarkEnd w:id="15"/>
      <w:bookmarkEnd w:id="16"/>
      <w:bookmarkEnd w:id="17"/>
    </w:p>
    <w:p w14:paraId="0922B656" w14:textId="00A2E356" w:rsidR="00626D8D" w:rsidRPr="001B5981" w:rsidRDefault="007102DC" w:rsidP="00996D91">
      <w:pPr>
        <w:jc w:val="both"/>
      </w:pPr>
      <w:bookmarkStart w:id="18" w:name="_Toc108086222"/>
      <w:bookmarkStart w:id="19" w:name="_Toc113369781"/>
      <w:bookmarkStart w:id="20" w:name="_Toc120118712"/>
      <w:bookmarkStart w:id="21"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18"/>
      <w:bookmarkEnd w:id="19"/>
      <w:bookmarkEnd w:id="20"/>
      <w:r w:rsidR="001705CC" w:rsidRPr="00A31A50">
        <w:rPr>
          <w:rFonts w:cs="Arial"/>
        </w:rPr>
        <w:t>flows</w:t>
      </w:r>
      <w:bookmarkEnd w:id="21"/>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22" w:name="_Toc108086223"/>
      <w:bookmarkStart w:id="23" w:name="_Toc113369782"/>
      <w:bookmarkStart w:id="24" w:name="_Toc120118713"/>
      <w:bookmarkStart w:id="25" w:name="_Toc154165176"/>
      <w:r>
        <w:rPr>
          <w:rFonts w:cs="Arial"/>
        </w:rPr>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22"/>
      <w:bookmarkEnd w:id="23"/>
      <w:bookmarkEnd w:id="24"/>
      <w:bookmarkEnd w:id="25"/>
    </w:p>
    <w:p w14:paraId="77885EB4" w14:textId="39A02F34" w:rsidR="0028169E" w:rsidRPr="001B5981" w:rsidRDefault="0028169E" w:rsidP="00996D91">
      <w:pPr>
        <w:spacing w:after="0"/>
        <w:jc w:val="both"/>
      </w:pPr>
      <w:bookmarkStart w:id="26" w:name="_Toc108086224"/>
      <w:bookmarkStart w:id="27" w:name="_Toc113369783"/>
      <w:bookmarkStart w:id="28" w:name="_Toc120118714"/>
      <w:bookmarkStart w:id="29"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26"/>
      <w:bookmarkEnd w:id="27"/>
      <w:bookmarkEnd w:id="28"/>
      <w:bookmarkEnd w:id="29"/>
    </w:p>
    <w:p w14:paraId="5FA915C7" w14:textId="7F1DBB5F" w:rsidR="000302B2" w:rsidRPr="001B5981" w:rsidRDefault="001B678D" w:rsidP="00996D91">
      <w:pPr>
        <w:jc w:val="both"/>
      </w:pPr>
      <w:bookmarkStart w:id="30" w:name="_Toc108086225"/>
      <w:bookmarkStart w:id="31" w:name="_Toc113369784"/>
      <w:bookmarkStart w:id="32" w:name="_Toc120118715"/>
      <w:bookmarkStart w:id="33"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r w:rsidR="000302B2" w:rsidRPr="001B5981">
        <w:rPr>
          <w:rStyle w:val="FootnoteReference"/>
        </w:rPr>
        <w:footnoteReference w:id="7"/>
      </w:r>
      <w:r w:rsidR="00186938" w:rsidRPr="001B5981">
        <w:t xml:space="preserve"> </w:t>
      </w:r>
      <w:r w:rsidR="003F6C00">
        <w:t xml:space="preserve">in 3G networks </w:t>
      </w:r>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r w:rsidR="00B5340F">
        <w:t>)</w:t>
      </w:r>
      <w:r w:rsidR="003F6C00">
        <w:t>.</w:t>
      </w:r>
    </w:p>
    <w:p w14:paraId="11E53CD9" w14:textId="6D3ADE90"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r>
        <w:t>x</w:t>
      </w:r>
      <w:r w:rsidR="00BF297F" w:rsidRPr="001B5981">
        <w:t>.</w:t>
      </w:r>
      <w:r w:rsidR="00BF297F" w:rsidRPr="001B5981">
        <w:rPr>
          <w:rFonts w:eastAsia="SimSun"/>
          <w:lang w:eastAsia="zh-CN"/>
        </w:rPr>
        <w:t>1</w:t>
      </w:r>
      <w:r w:rsidR="00BF297F" w:rsidRPr="001B5981">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30"/>
      <w:bookmarkEnd w:id="31"/>
      <w:bookmarkEnd w:id="32"/>
      <w:bookmarkEnd w:id="33"/>
    </w:p>
    <w:p w14:paraId="760B81C7" w14:textId="0CED644F" w:rsidR="00766EEA" w:rsidRPr="00F47B5C" w:rsidRDefault="00FB0B88" w:rsidP="00E32AAF">
      <w:pPr>
        <w:rPr>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7"/>
      <w:bookmarkEnd w:id="8"/>
      <w:bookmarkEnd w:id="9"/>
      <w:r w:rsidR="00236A33">
        <w:rPr>
          <w:rFonts w:eastAsia="Tahoma"/>
        </w:rPr>
        <w:t>be able to schedule</w:t>
      </w:r>
      <w:r w:rsidR="00465DE7">
        <w:rPr>
          <w:rFonts w:eastAsia="Tahoma"/>
        </w:rPr>
        <w:t xml:space="preserve"> non-time critical</w:t>
      </w:r>
      <w:r w:rsidR="00236A33">
        <w:rPr>
          <w:rFonts w:eastAsia="Tahoma"/>
        </w:rPr>
        <w:t xml:space="preserve"> data transfers to or from the UE</w:t>
      </w:r>
      <w:r w:rsidR="00051C2A">
        <w:rPr>
          <w:rFonts w:eastAsia="Tahoma"/>
        </w:rPr>
        <w:t>,</w:t>
      </w:r>
      <w:r w:rsidR="00236A33">
        <w:rPr>
          <w:rFonts w:eastAsia="Tahoma"/>
        </w:rPr>
        <w:t xml:space="preserve"> based on</w:t>
      </w:r>
      <w:r w:rsidR="00953978">
        <w:rPr>
          <w:rFonts w:eastAsia="Tahoma"/>
        </w:rPr>
        <w:t xml:space="preserve"> the</w:t>
      </w:r>
      <w:r w:rsidR="00236A33">
        <w:rPr>
          <w:rFonts w:eastAsia="Tahoma"/>
        </w:rPr>
        <w:t xml:space="preserve"> renewable energy ratio</w:t>
      </w:r>
      <w:r w:rsidR="00894068">
        <w:rPr>
          <w:rFonts w:eastAsia="Tahoma"/>
        </w:rPr>
        <w:t xml:space="preserve"> applicable to the </w:t>
      </w:r>
      <w:r w:rsidR="00801E4A">
        <w:rPr>
          <w:rFonts w:eastAsia="Tahoma"/>
        </w:rPr>
        <w:t>serving</w:t>
      </w:r>
      <w:r w:rsidR="00894068">
        <w:rPr>
          <w:rFonts w:eastAsia="Tahoma"/>
        </w:rPr>
        <w:t xml:space="preserve"> site </w:t>
      </w:r>
      <w:r w:rsidR="00953978">
        <w:rPr>
          <w:rFonts w:eastAsia="Tahoma"/>
        </w:rPr>
        <w:t>and/</w:t>
      </w:r>
      <w:r w:rsidR="00BA4924">
        <w:rPr>
          <w:rFonts w:eastAsia="Tahoma"/>
        </w:rPr>
        <w:t xml:space="preserve">or </w:t>
      </w:r>
      <w:r w:rsidR="00051C2A">
        <w:rPr>
          <w:rFonts w:eastAsia="Tahoma"/>
        </w:rPr>
        <w:t>e</w:t>
      </w:r>
      <w:r w:rsidR="00BA4924">
        <w:rPr>
          <w:rFonts w:eastAsia="Tahoma"/>
        </w:rPr>
        <w:t>nergy consumption parameters relating to radio signal conditions.</w:t>
      </w:r>
    </w:p>
    <w:sectPr w:rsidR="00766EEA"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1F742" w14:textId="77777777" w:rsidR="0088356B" w:rsidRDefault="0088356B">
      <w:r>
        <w:separator/>
      </w:r>
    </w:p>
  </w:endnote>
  <w:endnote w:type="continuationSeparator" w:id="0">
    <w:p w14:paraId="43CB86B8" w14:textId="77777777" w:rsidR="0088356B" w:rsidRDefault="0088356B">
      <w:r>
        <w:continuationSeparator/>
      </w:r>
    </w:p>
  </w:endnote>
  <w:endnote w:type="continuationNotice" w:id="1">
    <w:p w14:paraId="70E5EE3E" w14:textId="77777777" w:rsidR="0088356B" w:rsidRDefault="008835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A7960" w14:textId="77777777" w:rsidR="0088356B" w:rsidRDefault="0088356B">
      <w:r>
        <w:separator/>
      </w:r>
    </w:p>
  </w:footnote>
  <w:footnote w:type="continuationSeparator" w:id="0">
    <w:p w14:paraId="2451A692" w14:textId="77777777" w:rsidR="0088356B" w:rsidRDefault="0088356B">
      <w:r>
        <w:continuationSeparator/>
      </w:r>
    </w:p>
  </w:footnote>
  <w:footnote w:type="continuationNotice" w:id="1">
    <w:p w14:paraId="42B2C130" w14:textId="77777777" w:rsidR="0088356B" w:rsidRDefault="0088356B">
      <w:pPr>
        <w:spacing w:after="0"/>
      </w:pPr>
    </w:p>
  </w:footnote>
  <w:footnote w:id="2">
    <w:p w14:paraId="65A496E8" w14:textId="2C4C010C" w:rsidR="005219C6" w:rsidRPr="005B1D0B" w:rsidRDefault="005219C6" w:rsidP="005756F4">
      <w:pPr>
        <w:pStyle w:val="FootnoteText"/>
        <w:spacing w:after="0"/>
        <w:rPr>
          <w:lang w:val="de-DE"/>
        </w:rPr>
      </w:pPr>
      <w:r w:rsidRPr="005B1D0B">
        <w:rPr>
          <w:rStyle w:val="FootnoteReference"/>
        </w:rPr>
        <w:footnoteRef/>
      </w:r>
      <w:r w:rsidRPr="005B1D0B">
        <w:t xml:space="preserve"> https://learn.rasayel.io/en/blog/whatsapp-user-statistics/</w:t>
      </w:r>
    </w:p>
  </w:footnote>
  <w:footnote w:id="3">
    <w:p w14:paraId="66CE45F2" w14:textId="799D41C6" w:rsidR="00932A36" w:rsidRPr="005B1D0B" w:rsidRDefault="00932A36" w:rsidP="005756F4">
      <w:pPr>
        <w:pStyle w:val="FootnoteText"/>
        <w:spacing w:after="0"/>
        <w:rPr>
          <w:lang w:val="de-DE"/>
        </w:rPr>
      </w:pPr>
      <w:r w:rsidRPr="005B1D0B">
        <w:rPr>
          <w:rStyle w:val="FootnoteReference"/>
        </w:rPr>
        <w:footnoteRef/>
      </w:r>
      <w:r w:rsidRPr="005B1D0B">
        <w:rPr>
          <w:lang w:val="de-DE"/>
        </w:rPr>
        <w:t xml:space="preserve"> https://datareportal.com/essential-facebook-stats?ref=buffer.com</w:t>
      </w:r>
    </w:p>
  </w:footnote>
  <w:footnote w:id="4">
    <w:p w14:paraId="4FF92ABA" w14:textId="12629DC3" w:rsidR="007C46E8" w:rsidRPr="005B1D0B" w:rsidRDefault="007C46E8" w:rsidP="005756F4">
      <w:pPr>
        <w:pStyle w:val="FootnoteText"/>
        <w:spacing w:after="0"/>
        <w:rPr>
          <w:lang w:val="de-DE"/>
        </w:rPr>
      </w:pPr>
      <w:r w:rsidRPr="005B1D0B">
        <w:rPr>
          <w:rStyle w:val="FootnoteReference"/>
        </w:rPr>
        <w:footnoteRef/>
      </w:r>
      <w:r w:rsidRPr="005B1D0B">
        <w:rPr>
          <w:lang w:val="de-DE"/>
        </w:rPr>
        <w:t xml:space="preserve"> </w:t>
      </w:r>
      <w:hyperlink r:id="rId1" w:history="1">
        <w:hyperlink r:id="rId2" w:history="1">
          <w:r w:rsidR="00244020" w:rsidRPr="005B1D0B">
            <w:rPr>
              <w:lang w:val="de-DE"/>
            </w:rPr>
            <w:t>https://gitnux.org/outlook-statistics</w:t>
          </w:r>
        </w:hyperlink>
      </w:hyperlink>
    </w:p>
  </w:footnote>
  <w:footnote w:id="5">
    <w:p w14:paraId="2D8A0B43" w14:textId="1D243DC6" w:rsidR="003D1CA6" w:rsidRPr="005B1D0B" w:rsidRDefault="003D1CA6" w:rsidP="005756F4">
      <w:pPr>
        <w:pStyle w:val="FootnoteText"/>
        <w:spacing w:after="0"/>
        <w:rPr>
          <w:lang w:val="de-DE"/>
        </w:rPr>
      </w:pPr>
      <w:r w:rsidRPr="005B1D0B">
        <w:rPr>
          <w:rStyle w:val="FootnoteReference"/>
        </w:rPr>
        <w:footnoteRef/>
      </w:r>
      <w:r w:rsidRPr="005B1D0B">
        <w:rPr>
          <w:lang w:val="de-DE"/>
        </w:rPr>
        <w:t xml:space="preserve"> </w:t>
      </w:r>
      <w:hyperlink r:id="rId3" w:history="1">
        <w:hyperlink r:id="rId4" w:history="1">
          <w:hyperlink r:id="rId5" w:history="1">
            <w:hyperlink r:id="rId6" w:history="1">
              <w:r w:rsidRPr="005B1D0B">
                <w:rPr>
                  <w:lang w:val="de-DE"/>
                </w:rPr>
                <w:t>https://techjury.net/blog/gmail-statistics</w:t>
              </w:r>
            </w:hyperlink>
          </w:hyperlink>
        </w:hyperlink>
      </w:hyperlink>
    </w:p>
  </w:footnote>
  <w:footnote w:id="6">
    <w:p w14:paraId="46438F31" w14:textId="41CA273C" w:rsidR="0087337A" w:rsidRPr="005B1D0B" w:rsidRDefault="0087337A" w:rsidP="005756F4">
      <w:pPr>
        <w:pStyle w:val="FootnoteText"/>
        <w:spacing w:after="0"/>
        <w:rPr>
          <w:lang w:val="de-DE"/>
        </w:rPr>
      </w:pPr>
      <w:r w:rsidRPr="005B1D0B">
        <w:rPr>
          <w:rStyle w:val="FootnoteReference"/>
        </w:rPr>
        <w:footnoteRef/>
      </w:r>
      <w:r w:rsidRPr="005B1D0B">
        <w:rPr>
          <w:rStyle w:val="FootnoteReference"/>
          <w:lang w:val="de-DE"/>
        </w:rPr>
        <w:t xml:space="preserve"> </w:t>
      </w:r>
      <w:hyperlink r:id="rId7" w:history="1">
        <w:r w:rsidRPr="005B1D0B">
          <w:rPr>
            <w:lang w:val="de-DE"/>
          </w:rPr>
          <w:t>https://blog.whatsapp.com/reactions-2gb-file-sharing-512-groups</w:t>
        </w:r>
      </w:hyperlink>
    </w:p>
    <w:p w14:paraId="2D966F01" w14:textId="77777777" w:rsidR="00873DF7" w:rsidRPr="00F833B3" w:rsidRDefault="00873DF7" w:rsidP="0087337A">
      <w:pPr>
        <w:pStyle w:val="FootnoteText"/>
        <w:rPr>
          <w:lang w:val="de-DE"/>
        </w:rPr>
      </w:pPr>
    </w:p>
  </w:footnote>
  <w:footnote w:id="7">
    <w:p w14:paraId="26F24883" w14:textId="77777777" w:rsidR="000302B2" w:rsidRPr="00C43400" w:rsidRDefault="000302B2" w:rsidP="000302B2">
      <w:pPr>
        <w:pStyle w:val="FootnoteText"/>
      </w:pPr>
      <w:r>
        <w:rPr>
          <w:rStyle w:val="FootnoteReference"/>
        </w:rPr>
        <w:footnoteRef/>
      </w:r>
      <w:r>
        <w:t xml:space="preserve"> </w:t>
      </w:r>
      <w:r w:rsidRPr="00D11927">
        <w:t>E. D. Fitkov-Norris and A. Khanifar, "Dynamic pricing in mobile communication systems," First International Conference on 3G Mobile Communication Technologies, London, UK, 2000, pp. 416-420, doi: 10.1049/cp:20000083.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745B"/>
    <w:rsid w:val="003D7A53"/>
    <w:rsid w:val="003D7FE2"/>
    <w:rsid w:val="003E007E"/>
    <w:rsid w:val="003E047A"/>
    <w:rsid w:val="003E0FD0"/>
    <w:rsid w:val="003E2334"/>
    <w:rsid w:val="003E2E96"/>
    <w:rsid w:val="003E4A4A"/>
    <w:rsid w:val="003E527B"/>
    <w:rsid w:val="003E5727"/>
    <w:rsid w:val="003E5C3B"/>
    <w:rsid w:val="003E6109"/>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A37"/>
    <w:rsid w:val="00441F7D"/>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30E8"/>
    <w:rsid w:val="004641A8"/>
    <w:rsid w:val="004645A3"/>
    <w:rsid w:val="00465515"/>
    <w:rsid w:val="00465626"/>
    <w:rsid w:val="00465DE7"/>
    <w:rsid w:val="00465F38"/>
    <w:rsid w:val="004664B0"/>
    <w:rsid w:val="00466CA3"/>
    <w:rsid w:val="0046724A"/>
    <w:rsid w:val="00467A41"/>
    <w:rsid w:val="004701F9"/>
    <w:rsid w:val="00470314"/>
    <w:rsid w:val="00471CB8"/>
    <w:rsid w:val="00471EE4"/>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30054"/>
    <w:rsid w:val="00630C71"/>
    <w:rsid w:val="00630E6F"/>
    <w:rsid w:val="0063164E"/>
    <w:rsid w:val="0063236C"/>
    <w:rsid w:val="00632BA4"/>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A42"/>
    <w:rsid w:val="006E1BEF"/>
    <w:rsid w:val="006E300A"/>
    <w:rsid w:val="006E33F3"/>
    <w:rsid w:val="006E3670"/>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7B0B"/>
    <w:rsid w:val="006F7B65"/>
    <w:rsid w:val="006F7BBD"/>
    <w:rsid w:val="006F7FBF"/>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AA1"/>
    <w:rsid w:val="0078343E"/>
    <w:rsid w:val="00783527"/>
    <w:rsid w:val="0078355D"/>
    <w:rsid w:val="00783561"/>
    <w:rsid w:val="007836FE"/>
    <w:rsid w:val="007845BC"/>
    <w:rsid w:val="00784CD9"/>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5A98"/>
    <w:rsid w:val="008B6889"/>
    <w:rsid w:val="008B6E67"/>
    <w:rsid w:val="008B7C02"/>
    <w:rsid w:val="008C045B"/>
    <w:rsid w:val="008C0B55"/>
    <w:rsid w:val="008C189F"/>
    <w:rsid w:val="008C2292"/>
    <w:rsid w:val="008C28F7"/>
    <w:rsid w:val="008C3564"/>
    <w:rsid w:val="008C384C"/>
    <w:rsid w:val="008C3E24"/>
    <w:rsid w:val="008C3F28"/>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515"/>
    <w:rsid w:val="008F2778"/>
    <w:rsid w:val="008F2977"/>
    <w:rsid w:val="008F29A6"/>
    <w:rsid w:val="008F29EE"/>
    <w:rsid w:val="008F2B9D"/>
    <w:rsid w:val="008F303C"/>
    <w:rsid w:val="008F372E"/>
    <w:rsid w:val="008F42A4"/>
    <w:rsid w:val="008F487D"/>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3DE"/>
    <w:rsid w:val="00937E30"/>
    <w:rsid w:val="00940221"/>
    <w:rsid w:val="009404CF"/>
    <w:rsid w:val="00940AF4"/>
    <w:rsid w:val="00940F8F"/>
    <w:rsid w:val="00941C7E"/>
    <w:rsid w:val="009420B7"/>
    <w:rsid w:val="00942163"/>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D05C8"/>
    <w:rsid w:val="00AD147E"/>
    <w:rsid w:val="00AD224D"/>
    <w:rsid w:val="00AD22B7"/>
    <w:rsid w:val="00AD2513"/>
    <w:rsid w:val="00AD26D1"/>
    <w:rsid w:val="00AD2724"/>
    <w:rsid w:val="00AD2EB9"/>
    <w:rsid w:val="00AD2FB9"/>
    <w:rsid w:val="00AD3036"/>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168F"/>
    <w:rsid w:val="00B318E1"/>
    <w:rsid w:val="00B31921"/>
    <w:rsid w:val="00B31E62"/>
    <w:rsid w:val="00B32318"/>
    <w:rsid w:val="00B32DDF"/>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474"/>
    <w:rsid w:val="00C0157E"/>
    <w:rsid w:val="00C019C7"/>
    <w:rsid w:val="00C023A3"/>
    <w:rsid w:val="00C02821"/>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33A9"/>
    <w:rsid w:val="00C7350E"/>
    <w:rsid w:val="00C738A2"/>
    <w:rsid w:val="00C73904"/>
    <w:rsid w:val="00C73F44"/>
    <w:rsid w:val="00C74255"/>
    <w:rsid w:val="00C74411"/>
    <w:rsid w:val="00C748E6"/>
    <w:rsid w:val="00C748F6"/>
    <w:rsid w:val="00C750DB"/>
    <w:rsid w:val="00C75FBD"/>
    <w:rsid w:val="00C76147"/>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558"/>
    <w:rsid w:val="00CA15C9"/>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536E"/>
    <w:rsid w:val="00E85AF2"/>
    <w:rsid w:val="00E8607E"/>
    <w:rsid w:val="00E86F6F"/>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33A"/>
    <w:rsid w:val="00F26396"/>
    <w:rsid w:val="00F26C37"/>
    <w:rsid w:val="00F304C1"/>
    <w:rsid w:val="00F30576"/>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gitnux.org/outlook-statistics/" TargetMode="External"/><Relationship Id="rId7" Type="http://schemas.openxmlformats.org/officeDocument/2006/relationships/hyperlink" Target="https://blog.whatsapp.com/reactions-2gb-file-sharing-512-groups" TargetMode="External"/><Relationship Id="rId2" Type="http://schemas.openxmlformats.org/officeDocument/2006/relationships/hyperlink" Target="https://gitnux.org/outlook-statistics/" TargetMode="External"/><Relationship Id="rId1" Type="http://schemas.openxmlformats.org/officeDocument/2006/relationships/hyperlink" Target="https://gitnux.org/outlook-statistics/" TargetMode="External"/><Relationship Id="rId6" Type="http://schemas.openxmlformats.org/officeDocument/2006/relationships/hyperlink" Target="https://techjury.net/blog/gmail-statistics/" TargetMode="External"/><Relationship Id="rId5" Type="http://schemas.openxmlformats.org/officeDocument/2006/relationships/hyperlink" Target="https://techjury.net/blog/gmail-statistics/" TargetMode="External"/><Relationship Id="rId4" Type="http://schemas.openxmlformats.org/officeDocument/2006/relationships/hyperlink" Target="https://gitnux.org/outlook-statisti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3.xml><?xml version="1.0" encoding="utf-8"?>
<ds:datastoreItem xmlns:ds="http://schemas.openxmlformats.org/officeDocument/2006/customXml" ds:itemID="{14F50E46-3720-4E1B-A548-4118B25C34C6}">
  <ds:schemaRefs>
    <ds:schemaRef ds:uri="http://schemas.microsoft.com/sharepoint/v3/contenttype/forms"/>
  </ds:schemaRefs>
</ds:datastoreItem>
</file>

<file path=customXml/itemProps4.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886</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3</cp:revision>
  <cp:lastPrinted>2019-02-26T08:05:00Z</cp:lastPrinted>
  <dcterms:created xsi:type="dcterms:W3CDTF">2024-08-08T16:13:00Z</dcterms:created>
  <dcterms:modified xsi:type="dcterms:W3CDTF">2024-08-09T08:41:00Z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